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附件:5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百色市第二人民医院药品、医用耗材及检验试剂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配送企业遴选评分表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rPr>
          <w:rFonts w:asciiTheme="minorEastAsia" w:hAnsiTheme="minorEastAsia"/>
          <w:b/>
          <w:color w:val="auto"/>
          <w:szCs w:val="21"/>
        </w:rPr>
      </w:pPr>
      <w:r>
        <w:rPr>
          <w:rFonts w:hint="eastAsia" w:asciiTheme="minorEastAsia" w:hAnsiTheme="minorEastAsia"/>
          <w:b/>
          <w:color w:val="auto"/>
          <w:szCs w:val="21"/>
        </w:rPr>
        <w:t>企业名称：</w:t>
      </w:r>
    </w:p>
    <w:p>
      <w:pPr>
        <w:rPr>
          <w:rFonts w:asciiTheme="minorEastAsia" w:hAnsiTheme="minorEastAsia"/>
          <w:b/>
          <w:color w:val="auto"/>
          <w:szCs w:val="21"/>
        </w:rPr>
      </w:pPr>
    </w:p>
    <w:p>
      <w:pPr>
        <w:rPr>
          <w:rFonts w:asciiTheme="minorEastAsia" w:hAnsiTheme="minorEastAsia"/>
          <w:b/>
          <w:color w:val="auto"/>
          <w:szCs w:val="21"/>
        </w:rPr>
      </w:pPr>
      <w:r>
        <w:rPr>
          <w:rFonts w:hint="eastAsia" w:asciiTheme="minorEastAsia" w:hAnsiTheme="minorEastAsia"/>
          <w:b/>
          <w:color w:val="auto"/>
          <w:szCs w:val="21"/>
        </w:rPr>
        <w:t>配送负责人：</w:t>
      </w:r>
    </w:p>
    <w:p>
      <w:pPr>
        <w:rPr>
          <w:rFonts w:asciiTheme="minorEastAsia" w:hAnsiTheme="minorEastAsia"/>
          <w:b/>
          <w:color w:val="auto"/>
          <w:szCs w:val="21"/>
        </w:rPr>
      </w:pPr>
    </w:p>
    <w:p>
      <w:pPr>
        <w:rPr>
          <w:rFonts w:asciiTheme="minorEastAsia" w:hAnsiTheme="minorEastAsia"/>
          <w:b/>
          <w:color w:val="auto"/>
          <w:szCs w:val="21"/>
        </w:rPr>
      </w:pPr>
      <w:r>
        <w:rPr>
          <w:rFonts w:hint="eastAsia" w:asciiTheme="minorEastAsia" w:hAnsiTheme="minorEastAsia"/>
          <w:b/>
          <w:color w:val="auto"/>
          <w:szCs w:val="21"/>
        </w:rPr>
        <w:t>联系方式：</w:t>
      </w:r>
    </w:p>
    <w:p>
      <w:pPr>
        <w:rPr>
          <w:rFonts w:asciiTheme="minorEastAsia" w:hAnsiTheme="minorEastAsia"/>
          <w:b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1"/>
        <w:gridCol w:w="811"/>
        <w:gridCol w:w="340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评分内容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分数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配送、响应及履约能力</w:t>
            </w:r>
          </w:p>
        </w:tc>
        <w:tc>
          <w:tcPr>
            <w:tcW w:w="811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评审内容：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(1)配送企业应配合院方采购计划进行配送。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(2)急救及急需响应及送到时间。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(3)普通药品、医用耗材及检验试剂响应及送达时间。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(4)配送距离。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(1) 配送企业必须具备满足医疗机构临床需求的配送能力。不论医院采购药品、医用耗材及检验试剂规模大小，配送企业均应保证配送。可配送5分;否则不得分。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(2)急救2小时内送达，急需8小时内送达，可得5分，每增加4小时减1分，扣完为止。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(3)一般药品、医用耗材及检验试剂24小时内送到，最长不超过48小时，节假日照常配送，保证一日多次配送。承诺24小时送达5分，每增加12小时扣1分，扣完为止。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配送距离：市内5分，区内3分，区外1分。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应急机制</w:t>
            </w:r>
          </w:p>
        </w:tc>
        <w:tc>
          <w:tcPr>
            <w:tcW w:w="811" w:type="dxa"/>
          </w:tcPr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(1)抢救、重大疫情及突发事件所需或其他特殊加急药品、医用耗材及检验试剂的应对措施。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(2)对于医院订单不能满足配送时，如厂家或其它等原因不能供应时的相应措施。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提供的方案同时满足两项得10分。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提供的方案满足其中一项得5分。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均不满足则不得分。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退换货响应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除特殊管理的药品、医用耗材及检验试剂外，在效期内的药品、医用耗材及检验试剂可进行合理退换。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可承诺退换10分;否则不得分。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经营范围。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《经营许可证》复印件加盖公章。能够配送普通药品得5分，能配送特殊管理药品加3分，能配送需冷链运输药品及生物制品加2分。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（2）能够配送医用耗材的5分，能配送检验试剂的5分，都可配送的10分。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配送品规数量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在广西药品和医用耗材招采管理系统上有配送权的药品、医用耗材及检验试剂品规数。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品规数，第1的得5分。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品规数，第2的得4分。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品规数，第3的得3分。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品规数，第4以下的得1分。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6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能配送医院所有药品的得10分，90%得8分，80%得6分，80%以下的3分。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(7)能配送医院所有医用耗材的得10分，90%得8分，80%得6分，80%以下的3分。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(8)能配送医院所有检验试剂的得10分，90%得8分，80%得6分，80%以下的3分。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评分依据: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在广西药品和医用耗材招采管理系统，实际挂网品种截图及加盖公章作为可供品种数量的证明材料。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仓储能力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拥有与配送业务相适应的仓储，能满足药品、医用耗材及检验试剂储存的温度，湿度要求(仓储在本市优先)。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仓库总面积，第1的10分。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仓库总面积，第2的8分。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仓库总面积， 第3以下的5分。;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仓储在本市加3分。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评分依据: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仓库产权及租赁合同或其他有效证明材料的扫描件或复印件。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挂网率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配送品种挂网率95%，得15分.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asciiTheme="minorEastAsia" w:hAnsiTheme="minorEastAsia"/>
                <w:color w:val="auto"/>
                <w:szCs w:val="21"/>
              </w:rPr>
              <w:t>)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配送品种挂网率90%，得12分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(3) 配送品种挂网率80%，得10分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(4) 配送品种挂网率80%，以下的得5分。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违约承诺</w:t>
            </w:r>
          </w:p>
        </w:tc>
        <w:tc>
          <w:tcPr>
            <w:tcW w:w="811" w:type="dxa"/>
          </w:tcPr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评审内容: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包含但不限于质量保证及违约责任承诺、增值服务承诺、售后服务保证及违约承诺等。</w:t>
            </w:r>
          </w:p>
          <w:p>
            <w:pPr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评分标准:</w:t>
            </w:r>
          </w:p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(1)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提供以上承诺且承诺中合理划分责权利可得10分，否则不得分。</w:t>
            </w: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得分合计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01" w:type="dxa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</w:tbl>
    <w:p>
      <w:pPr>
        <w:rPr>
          <w:rFonts w:asciiTheme="minorEastAsia" w:hAnsiTheme="minorEastAsia"/>
          <w:b/>
          <w:color w:val="auto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  <w:t xml:space="preserve">遴选评委（签字）：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  <w:t>监督人员(签字)：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</w:p>
    <w:p>
      <w:pPr>
        <w:ind w:firstLine="4592" w:firstLineChars="164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</w:rPr>
        <w:t>日期：       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5869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lkM2U1ZmI2ZGMxYTFkZjk2YjU2YjY2YzAxMjUifQ=="/>
  </w:docVars>
  <w:rsids>
    <w:rsidRoot w:val="00000000"/>
    <w:rsid w:val="1822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2024-09-30T01:48:25Z</dcterms:created>
  <dc:creator>Administrator</dc:creator>
  <cp:lastModifiedBy>WPS_1669793001</cp:lastModifiedBy>
  <dcterms:modified xsi:type="dcterms:W3CDTF">2024-09-30T01:49:31Z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AD28F160FF564BED9AC20C1746250254_12</vt:lpwstr>
  </property>
</Properties>
</file>